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CCDB18">
      <w:pPr>
        <w:jc w:val="center"/>
        <w:rPr>
          <w:rFonts w:eastAsia="黑体"/>
          <w:sz w:val="30"/>
          <w:szCs w:val="30"/>
        </w:rPr>
      </w:pPr>
      <w:bookmarkStart w:id="0" w:name="_GoBack"/>
      <w:bookmarkEnd w:id="0"/>
      <w:r>
        <w:rPr>
          <w:rFonts w:hint="eastAsia" w:eastAsia="黑体"/>
          <w:sz w:val="30"/>
          <w:szCs w:val="30"/>
        </w:rPr>
        <w:t>大连工业大学2025年研究生招生自命题考试大纲</w:t>
      </w:r>
    </w:p>
    <w:p w14:paraId="25201218">
      <w:pPr>
        <w:tabs>
          <w:tab w:val="left" w:pos="540"/>
        </w:tabs>
        <w:ind w:left="28"/>
        <w:rPr>
          <w:rFonts w:ascii="宋体" w:hAnsi="宋体"/>
          <w:sz w:val="24"/>
        </w:rPr>
      </w:pPr>
    </w:p>
    <w:p w14:paraId="537F4D4A">
      <w:pPr>
        <w:tabs>
          <w:tab w:val="left" w:pos="540"/>
        </w:tabs>
        <w:ind w:left="28"/>
        <w:rPr>
          <w:sz w:val="24"/>
        </w:rPr>
      </w:pPr>
      <w:r>
        <w:rPr>
          <w:rFonts w:hint="eastAsia" w:ascii="仿宋_GB2312" w:hAnsi="宋体" w:eastAsia="仿宋_GB2312"/>
          <w:sz w:val="24"/>
        </w:rPr>
        <w:t>考试科目代码及名称：</w:t>
      </w:r>
      <w:r>
        <w:rPr>
          <w:rFonts w:hint="eastAsia"/>
          <w:sz w:val="24"/>
        </w:rPr>
        <w:t xml:space="preserve">材料与化工基础  </w:t>
      </w:r>
    </w:p>
    <w:p w14:paraId="2B31E2DE">
      <w:pPr>
        <w:tabs>
          <w:tab w:val="left" w:pos="540"/>
        </w:tabs>
        <w:ind w:left="28"/>
        <w:rPr>
          <w:rFonts w:hint="default" w:ascii="仿宋_GB2312" w:hAnsi="宋体" w:eastAsia="宋体"/>
          <w:sz w:val="24"/>
          <w:lang w:val="en-US" w:eastAsia="zh-CN"/>
        </w:rPr>
      </w:pPr>
      <w:r>
        <w:rPr>
          <w:rFonts w:hint="eastAsia" w:ascii="仿宋_GB2312" w:hAnsi="宋体" w:eastAsia="仿宋_GB2312"/>
          <w:sz w:val="24"/>
        </w:rPr>
        <w:t>学院名称：</w:t>
      </w:r>
      <w:r>
        <w:rPr>
          <w:rFonts w:hint="eastAsia"/>
          <w:sz w:val="24"/>
        </w:rPr>
        <w:t>轻工与化学工程</w:t>
      </w:r>
      <w:r>
        <w:rPr>
          <w:rFonts w:hint="eastAsia"/>
          <w:sz w:val="24"/>
          <w:lang w:val="en-US" w:eastAsia="zh-CN"/>
        </w:rPr>
        <w:t>学院</w:t>
      </w:r>
      <w:r>
        <w:rPr>
          <w:rFonts w:hint="eastAsia"/>
          <w:sz w:val="24"/>
        </w:rPr>
        <w:t xml:space="preserve"> 纺织与材料工程</w:t>
      </w:r>
      <w:r>
        <w:rPr>
          <w:rFonts w:hint="eastAsia"/>
          <w:sz w:val="24"/>
          <w:lang w:val="en-US" w:eastAsia="zh-CN"/>
        </w:rPr>
        <w:t>学院 服装学院</w:t>
      </w:r>
    </w:p>
    <w:p w14:paraId="1645307C">
      <w:pPr>
        <w:tabs>
          <w:tab w:val="left" w:pos="540"/>
        </w:tabs>
        <w:ind w:left="28"/>
        <w:rPr>
          <w:rFonts w:ascii="宋体" w:hAnsi="宋体"/>
          <w:sz w:val="24"/>
        </w:rPr>
      </w:pPr>
    </w:p>
    <w:p w14:paraId="411B3A23">
      <w:pPr>
        <w:spacing w:line="360" w:lineRule="auto"/>
        <w:rPr>
          <w:rFonts w:ascii="黑体" w:hAnsi="黑体" w:eastAsia="黑体"/>
          <w:b/>
          <w:sz w:val="24"/>
        </w:rPr>
      </w:pPr>
      <w:r>
        <w:rPr>
          <w:rFonts w:hint="eastAsia" w:ascii="黑体" w:hAnsi="黑体" w:eastAsia="黑体"/>
          <w:b/>
          <w:sz w:val="24"/>
        </w:rPr>
        <w:t>一、</w:t>
      </w:r>
      <w:r>
        <w:rPr>
          <w:rFonts w:ascii="黑体" w:hAnsi="黑体" w:eastAsia="黑体"/>
          <w:b/>
          <w:sz w:val="24"/>
        </w:rPr>
        <w:t>考试</w:t>
      </w:r>
      <w:r>
        <w:rPr>
          <w:rFonts w:hint="eastAsia" w:ascii="黑体" w:hAnsi="黑体" w:eastAsia="黑体"/>
          <w:b/>
          <w:sz w:val="24"/>
        </w:rPr>
        <w:t>的总体</w:t>
      </w:r>
      <w:r>
        <w:rPr>
          <w:rFonts w:ascii="黑体" w:hAnsi="黑体" w:eastAsia="黑体"/>
          <w:b/>
          <w:sz w:val="24"/>
        </w:rPr>
        <w:t>要求</w:t>
      </w:r>
    </w:p>
    <w:p w14:paraId="3E54C9AD">
      <w:pPr>
        <w:spacing w:line="360" w:lineRule="auto"/>
        <w:ind w:firstLine="480" w:firstLineChars="200"/>
        <w:rPr>
          <w:rFonts w:ascii="仿宋_GB2312" w:hAnsi="黑体"/>
          <w:sz w:val="24"/>
        </w:rPr>
      </w:pPr>
      <w:r>
        <w:rPr>
          <w:sz w:val="24"/>
        </w:rPr>
        <w:t>该门学科要求考生比较系统地理解和掌握</w:t>
      </w:r>
      <w:r>
        <w:rPr>
          <w:rFonts w:hint="eastAsia"/>
          <w:sz w:val="24"/>
        </w:rPr>
        <w:t>材料与化工基础</w:t>
      </w:r>
      <w:r>
        <w:rPr>
          <w:sz w:val="24"/>
        </w:rPr>
        <w:t>的基础知识、基本理论、基本方法和基本技能，能够分析、判断和解决有关理论和实际问题</w:t>
      </w:r>
      <w:r>
        <w:rPr>
          <w:rFonts w:hint="eastAsia"/>
          <w:sz w:val="24"/>
        </w:rPr>
        <w:t>。</w:t>
      </w:r>
    </w:p>
    <w:p w14:paraId="5447EA95">
      <w:pPr>
        <w:spacing w:line="360" w:lineRule="auto"/>
        <w:rPr>
          <w:rFonts w:ascii="黑体" w:hAnsi="黑体" w:eastAsia="黑体"/>
          <w:b/>
          <w:sz w:val="24"/>
        </w:rPr>
      </w:pPr>
      <w:r>
        <w:rPr>
          <w:rFonts w:hint="eastAsia" w:ascii="黑体" w:hAnsi="黑体" w:eastAsia="黑体"/>
          <w:b/>
          <w:sz w:val="24"/>
        </w:rPr>
        <w:t>二、考试内容</w:t>
      </w:r>
    </w:p>
    <w:p w14:paraId="3E51BA92">
      <w:pPr>
        <w:snapToGrid w:val="0"/>
        <w:spacing w:line="360" w:lineRule="auto"/>
        <w:ind w:firstLine="480" w:firstLineChars="200"/>
        <w:rPr>
          <w:sz w:val="24"/>
        </w:rPr>
      </w:pPr>
      <w:r>
        <w:rPr>
          <w:sz w:val="24"/>
        </w:rPr>
        <w:t>运用基本的化学理论知识判断化学反应的方向、计算反应热、平衡浓度；</w:t>
      </w:r>
      <w:r>
        <w:rPr>
          <w:rFonts w:hint="eastAsia"/>
          <w:sz w:val="24"/>
        </w:rPr>
        <w:t>理解并掌握</w:t>
      </w:r>
      <w:r>
        <w:rPr>
          <w:sz w:val="24"/>
        </w:rPr>
        <w:t>四大平衡（酸碱、沉淀、氧化还原、配位）</w:t>
      </w:r>
      <w:r>
        <w:rPr>
          <w:rFonts w:hint="eastAsia"/>
          <w:sz w:val="24"/>
        </w:rPr>
        <w:t>理论</w:t>
      </w:r>
      <w:r>
        <w:rPr>
          <w:sz w:val="24"/>
        </w:rPr>
        <w:t>以及化学动力学知识。</w:t>
      </w:r>
    </w:p>
    <w:p w14:paraId="0992748A">
      <w:pPr>
        <w:snapToGrid w:val="0"/>
        <w:spacing w:line="360" w:lineRule="auto"/>
        <w:ind w:firstLine="480" w:firstLineChars="200"/>
        <w:rPr>
          <w:sz w:val="24"/>
        </w:rPr>
      </w:pPr>
      <w:r>
        <w:rPr>
          <w:sz w:val="24"/>
        </w:rPr>
        <w:t>考试范围：</w:t>
      </w:r>
    </w:p>
    <w:p w14:paraId="3E6111D3">
      <w:pPr>
        <w:snapToGrid w:val="0"/>
        <w:spacing w:before="156" w:beforeLines="50" w:after="156" w:afterLines="50" w:line="360" w:lineRule="auto"/>
        <w:jc w:val="center"/>
        <w:rPr>
          <w:bCs/>
          <w:sz w:val="24"/>
        </w:rPr>
      </w:pPr>
      <w:r>
        <w:rPr>
          <w:bCs/>
          <w:sz w:val="24"/>
        </w:rPr>
        <w:t>第一章  物质的聚集状态</w:t>
      </w:r>
    </w:p>
    <w:p w14:paraId="5D5B696A">
      <w:pPr>
        <w:snapToGrid w:val="0"/>
        <w:spacing w:line="360" w:lineRule="auto"/>
        <w:rPr>
          <w:sz w:val="24"/>
        </w:rPr>
      </w:pPr>
      <w:r>
        <w:rPr>
          <w:sz w:val="24"/>
        </w:rPr>
        <w:t>考核知识点：</w:t>
      </w:r>
    </w:p>
    <w:p w14:paraId="7D69D62F">
      <w:pPr>
        <w:snapToGrid w:val="0"/>
        <w:spacing w:line="360" w:lineRule="auto"/>
        <w:ind w:firstLine="480" w:firstLineChars="200"/>
        <w:rPr>
          <w:sz w:val="24"/>
        </w:rPr>
      </w:pPr>
      <w:r>
        <w:rPr>
          <w:sz w:val="24"/>
        </w:rPr>
        <w:t>理想气体状态方程式、道尔顿分压定律及溶液浓度的表示方法</w:t>
      </w:r>
      <w:r>
        <w:rPr>
          <w:rFonts w:hint="eastAsia"/>
          <w:sz w:val="24"/>
        </w:rPr>
        <w:t>，</w:t>
      </w:r>
      <w:r>
        <w:rPr>
          <w:sz w:val="24"/>
        </w:rPr>
        <w:t>掌握有关计算。</w:t>
      </w:r>
    </w:p>
    <w:p w14:paraId="4AA0FCF5">
      <w:pPr>
        <w:snapToGrid w:val="0"/>
        <w:spacing w:line="360" w:lineRule="auto"/>
        <w:rPr>
          <w:b/>
          <w:bCs/>
          <w:sz w:val="24"/>
        </w:rPr>
      </w:pPr>
      <w:r>
        <w:rPr>
          <w:sz w:val="24"/>
        </w:rPr>
        <w:t>考核要点：</w:t>
      </w:r>
    </w:p>
    <w:p w14:paraId="5C8813F2">
      <w:pPr>
        <w:snapToGrid w:val="0"/>
        <w:spacing w:line="360" w:lineRule="auto"/>
        <w:ind w:firstLine="480" w:firstLineChars="200"/>
        <w:rPr>
          <w:sz w:val="24"/>
        </w:rPr>
      </w:pPr>
      <w:r>
        <w:rPr>
          <w:sz w:val="24"/>
        </w:rPr>
        <w:t>理想气体状态方程式、分压定律及溶液浓度的表示方法。</w:t>
      </w:r>
    </w:p>
    <w:p w14:paraId="21719000">
      <w:pPr>
        <w:snapToGrid w:val="0"/>
        <w:spacing w:before="156" w:beforeLines="50" w:after="156" w:afterLines="50" w:line="360" w:lineRule="auto"/>
        <w:jc w:val="center"/>
        <w:rPr>
          <w:bCs/>
          <w:sz w:val="24"/>
        </w:rPr>
      </w:pPr>
      <w:r>
        <w:rPr>
          <w:bCs/>
          <w:sz w:val="24"/>
        </w:rPr>
        <w:t>第</w:t>
      </w:r>
      <w:r>
        <w:rPr>
          <w:rFonts w:hint="eastAsia"/>
          <w:bCs/>
          <w:sz w:val="24"/>
        </w:rPr>
        <w:t>二</w:t>
      </w:r>
      <w:r>
        <w:rPr>
          <w:bCs/>
          <w:sz w:val="24"/>
        </w:rPr>
        <w:t>章  化学反应的基本原理</w:t>
      </w:r>
    </w:p>
    <w:p w14:paraId="0E26F952">
      <w:pPr>
        <w:snapToGrid w:val="0"/>
        <w:spacing w:line="360" w:lineRule="auto"/>
        <w:rPr>
          <w:b/>
          <w:bCs/>
          <w:sz w:val="24"/>
        </w:rPr>
      </w:pPr>
      <w:r>
        <w:rPr>
          <w:sz w:val="24"/>
        </w:rPr>
        <w:t>考核知识点：</w:t>
      </w:r>
    </w:p>
    <w:p w14:paraId="46A8A65B">
      <w:pPr>
        <w:snapToGrid w:val="0"/>
        <w:spacing w:line="360" w:lineRule="auto"/>
        <w:ind w:firstLine="480" w:firstLineChars="200"/>
        <w:rPr>
          <w:sz w:val="24"/>
        </w:rPr>
      </w:pPr>
      <w:r>
        <w:rPr>
          <w:sz w:val="24"/>
        </w:rPr>
        <w:t>1.掌握热化学中的基本术语。</w:t>
      </w:r>
    </w:p>
    <w:p w14:paraId="38DFD141">
      <w:pPr>
        <w:snapToGrid w:val="0"/>
        <w:spacing w:line="360" w:lineRule="auto"/>
        <w:ind w:firstLine="480" w:firstLineChars="200"/>
        <w:rPr>
          <w:sz w:val="24"/>
        </w:rPr>
      </w:pPr>
      <w:r>
        <w:rPr>
          <w:sz w:val="24"/>
        </w:rPr>
        <w:t>2.理解热化学方程式的含义</w:t>
      </w:r>
      <w:r>
        <w:rPr>
          <w:rFonts w:hint="eastAsia"/>
          <w:sz w:val="24"/>
        </w:rPr>
        <w:t>。</w:t>
      </w:r>
      <w:r>
        <w:rPr>
          <w:sz w:val="24"/>
        </w:rPr>
        <w:t>掌握标准生成焓的定义</w:t>
      </w:r>
      <w:r>
        <w:rPr>
          <w:rFonts w:hint="eastAsia"/>
          <w:sz w:val="24"/>
        </w:rPr>
        <w:t>、</w:t>
      </w:r>
      <w:r>
        <w:rPr>
          <w:sz w:val="24"/>
        </w:rPr>
        <w:t>盖斯定律及其应用</w:t>
      </w:r>
      <w:r>
        <w:rPr>
          <w:rFonts w:hint="eastAsia"/>
          <w:sz w:val="24"/>
        </w:rPr>
        <w:t>及</w:t>
      </w:r>
      <w:r>
        <w:rPr>
          <w:sz w:val="24"/>
        </w:rPr>
        <w:t>恒温反应热的计算方法。</w:t>
      </w:r>
    </w:p>
    <w:p w14:paraId="2F2C7617">
      <w:pPr>
        <w:snapToGrid w:val="0"/>
        <w:spacing w:line="360" w:lineRule="auto"/>
        <w:ind w:firstLine="480" w:firstLineChars="200"/>
        <w:rPr>
          <w:sz w:val="24"/>
        </w:rPr>
      </w:pPr>
      <w:r>
        <w:rPr>
          <w:sz w:val="24"/>
        </w:rPr>
        <w:t>3.掌握状态函数熵和自由能的物理意义</w:t>
      </w:r>
      <w:r>
        <w:rPr>
          <w:rFonts w:hint="eastAsia"/>
          <w:sz w:val="24"/>
        </w:rPr>
        <w:t>；</w:t>
      </w:r>
      <w:r>
        <w:rPr>
          <w:sz w:val="24"/>
        </w:rPr>
        <w:t>掌握熵变和自由能变，标准熵变和标准自由能变以及标准生成自由能的定义</w:t>
      </w:r>
      <w:r>
        <w:rPr>
          <w:rFonts w:hint="eastAsia"/>
          <w:sz w:val="24"/>
        </w:rPr>
        <w:t>；</w:t>
      </w:r>
      <w:r>
        <w:rPr>
          <w:sz w:val="24"/>
        </w:rPr>
        <w:t>掌握化学反应方向的判据----自由能判据。</w:t>
      </w:r>
    </w:p>
    <w:p w14:paraId="36F62E92">
      <w:pPr>
        <w:snapToGrid w:val="0"/>
        <w:spacing w:line="360" w:lineRule="auto"/>
        <w:ind w:firstLine="480" w:firstLineChars="200"/>
        <w:rPr>
          <w:sz w:val="24"/>
        </w:rPr>
      </w:pPr>
      <w:r>
        <w:rPr>
          <w:sz w:val="24"/>
        </w:rPr>
        <w:t>4.掌握化学反应速率、基元反应和非基元反应以及反应物级数、反应级数的概念</w:t>
      </w:r>
      <w:r>
        <w:rPr>
          <w:rFonts w:hint="eastAsia"/>
          <w:sz w:val="24"/>
        </w:rPr>
        <w:t>；</w:t>
      </w:r>
      <w:r>
        <w:rPr>
          <w:sz w:val="24"/>
        </w:rPr>
        <w:t>掌握影响化学反应速率的因素（浓度、温度和催化剂），并能</w:t>
      </w:r>
      <w:r>
        <w:rPr>
          <w:rFonts w:hint="eastAsia"/>
          <w:sz w:val="24"/>
        </w:rPr>
        <w:t>对</w:t>
      </w:r>
      <w:r>
        <w:rPr>
          <w:sz w:val="24"/>
        </w:rPr>
        <w:t>反应速率理论进行解释</w:t>
      </w:r>
      <w:r>
        <w:rPr>
          <w:rFonts w:hint="eastAsia"/>
          <w:sz w:val="24"/>
        </w:rPr>
        <w:t>；熟练</w:t>
      </w:r>
      <w:r>
        <w:rPr>
          <w:sz w:val="24"/>
        </w:rPr>
        <w:t>掌握质量作用定律和阿仑尼乌斯方程的物理意义，并能应用进行有关计算。</w:t>
      </w:r>
    </w:p>
    <w:p w14:paraId="417C9DE6">
      <w:pPr>
        <w:snapToGrid w:val="0"/>
        <w:spacing w:line="360" w:lineRule="auto"/>
        <w:ind w:firstLine="480" w:firstLineChars="200"/>
        <w:rPr>
          <w:sz w:val="24"/>
        </w:rPr>
      </w:pPr>
      <w:r>
        <w:rPr>
          <w:sz w:val="24"/>
        </w:rPr>
        <w:t>5.掌握反应达到化学平衡的特征，会写化学平衡常数表达式，</w:t>
      </w:r>
      <w:r>
        <w:rPr>
          <w:rFonts w:hint="eastAsia"/>
          <w:sz w:val="24"/>
        </w:rPr>
        <w:t>并熟练</w:t>
      </w:r>
      <w:r>
        <w:rPr>
          <w:sz w:val="24"/>
        </w:rPr>
        <w:t>掌握平衡常数的有关计算</w:t>
      </w:r>
      <w:r>
        <w:rPr>
          <w:rFonts w:hint="eastAsia"/>
          <w:sz w:val="24"/>
        </w:rPr>
        <w:t>；</w:t>
      </w:r>
      <w:r>
        <w:rPr>
          <w:sz w:val="24"/>
        </w:rPr>
        <w:t>掌握反应</w:t>
      </w:r>
      <w:r>
        <w:rPr>
          <w:rFonts w:hint="eastAsia"/>
          <w:sz w:val="24"/>
        </w:rPr>
        <w:t>熵</w:t>
      </w:r>
      <w:r>
        <w:rPr>
          <w:sz w:val="24"/>
        </w:rPr>
        <w:t>与标准化学平衡常数表达式的本质区别</w:t>
      </w:r>
      <w:r>
        <w:rPr>
          <w:rFonts w:hint="eastAsia"/>
          <w:sz w:val="24"/>
        </w:rPr>
        <w:t>、</w:t>
      </w:r>
      <w:r>
        <w:rPr>
          <w:sz w:val="24"/>
        </w:rPr>
        <w:t>影响化学平衡移动的因素。</w:t>
      </w:r>
    </w:p>
    <w:p w14:paraId="1A8CC739">
      <w:pPr>
        <w:snapToGrid w:val="0"/>
        <w:spacing w:line="360" w:lineRule="auto"/>
        <w:rPr>
          <w:b/>
          <w:bCs/>
          <w:sz w:val="24"/>
        </w:rPr>
      </w:pPr>
      <w:r>
        <w:rPr>
          <w:sz w:val="24"/>
        </w:rPr>
        <w:t>考核要点：</w:t>
      </w:r>
    </w:p>
    <w:p w14:paraId="7BFEEF34">
      <w:pPr>
        <w:snapToGrid w:val="0"/>
        <w:spacing w:line="360" w:lineRule="auto"/>
        <w:ind w:firstLine="480" w:firstLineChars="200"/>
        <w:rPr>
          <w:sz w:val="24"/>
        </w:rPr>
      </w:pPr>
      <w:r>
        <w:rPr>
          <w:sz w:val="24"/>
        </w:rPr>
        <w:t>热化学方程式的书写、反应焓变、Hess定律及有关计算。化学平衡的概念，标准平衡常数和平衡组成的计算。反应</w:t>
      </w:r>
      <w:r>
        <w:rPr>
          <w:rFonts w:hint="eastAsia"/>
          <w:sz w:val="24"/>
        </w:rPr>
        <w:t>熵</w:t>
      </w:r>
      <w:r>
        <w:rPr>
          <w:sz w:val="24"/>
        </w:rPr>
        <w:t>判据和Le Châtelier原理，浓度、压力、温度对化学平衡移动的影响及有关的简单计算。标准摩尔熵、标准摩尔生成Gibbs函数的概念</w:t>
      </w:r>
      <w:r>
        <w:rPr>
          <w:rFonts w:hint="eastAsia"/>
          <w:sz w:val="24"/>
        </w:rPr>
        <w:t>；</w:t>
      </w:r>
      <w:r>
        <w:rPr>
          <w:sz w:val="24"/>
        </w:rPr>
        <w:t>反应的标准摩尔熵和反应的摩尔Gibbs函数变的简单计算</w:t>
      </w:r>
      <w:r>
        <w:rPr>
          <w:rFonts w:hint="eastAsia"/>
          <w:sz w:val="24"/>
        </w:rPr>
        <w:t>；</w:t>
      </w:r>
      <w:r>
        <w:rPr>
          <w:rFonts w:hAnsi="宋体"/>
          <w:sz w:val="24"/>
        </w:rPr>
        <w:t>△</w:t>
      </w:r>
      <w:r>
        <w:rPr>
          <w:sz w:val="24"/>
        </w:rPr>
        <w:t>rGm与</w:t>
      </w:r>
      <w:r>
        <w:rPr>
          <w:rFonts w:ascii="宋体" w:hAnsi="宋体"/>
          <w:sz w:val="24"/>
        </w:rPr>
        <w:t>△</w:t>
      </w:r>
      <w:r>
        <w:rPr>
          <w:sz w:val="24"/>
        </w:rPr>
        <w:t>rHm和</w:t>
      </w:r>
      <w:r>
        <w:rPr>
          <w:rFonts w:ascii="宋体" w:hAnsi="宋体"/>
          <w:sz w:val="24"/>
        </w:rPr>
        <w:t>△</w:t>
      </w:r>
      <w:r>
        <w:rPr>
          <w:sz w:val="24"/>
        </w:rPr>
        <w:t>rSm的关系，判断反应进行的方向和程度。</w:t>
      </w:r>
    </w:p>
    <w:p w14:paraId="10B695C2">
      <w:pPr>
        <w:snapToGrid w:val="0"/>
        <w:spacing w:before="156" w:beforeLines="50" w:after="156" w:afterLines="50" w:line="360" w:lineRule="auto"/>
        <w:jc w:val="center"/>
        <w:rPr>
          <w:bCs/>
          <w:sz w:val="24"/>
        </w:rPr>
      </w:pPr>
      <w:r>
        <w:rPr>
          <w:bCs/>
          <w:sz w:val="24"/>
        </w:rPr>
        <w:t>第</w:t>
      </w:r>
      <w:r>
        <w:rPr>
          <w:rFonts w:hint="eastAsia"/>
          <w:bCs/>
          <w:sz w:val="24"/>
        </w:rPr>
        <w:t>三</w:t>
      </w:r>
      <w:r>
        <w:rPr>
          <w:bCs/>
          <w:sz w:val="24"/>
        </w:rPr>
        <w:t>章  酸碱平衡</w:t>
      </w:r>
    </w:p>
    <w:p w14:paraId="2083B48C">
      <w:pPr>
        <w:snapToGrid w:val="0"/>
        <w:spacing w:line="360" w:lineRule="auto"/>
        <w:rPr>
          <w:b/>
          <w:bCs/>
          <w:sz w:val="24"/>
        </w:rPr>
      </w:pPr>
      <w:r>
        <w:rPr>
          <w:sz w:val="24"/>
        </w:rPr>
        <w:t>考核知识点：</w:t>
      </w:r>
    </w:p>
    <w:p w14:paraId="5F905A16">
      <w:pPr>
        <w:snapToGrid w:val="0"/>
        <w:spacing w:line="360" w:lineRule="auto"/>
        <w:ind w:firstLine="480" w:firstLineChars="200"/>
        <w:rPr>
          <w:sz w:val="24"/>
        </w:rPr>
      </w:pPr>
      <w:r>
        <w:rPr>
          <w:sz w:val="24"/>
        </w:rPr>
        <w:t>1.掌握酸碱质子、电子理论及酸碱反应的实质，会写出共扼酸碱对，会计算共扼酸（碱）的离解常数值及酸碱强弱的判断，掌握共扼酸碱对Ka</w:t>
      </w:r>
      <w:r>
        <w:rPr>
          <w:rFonts w:ascii="Arial" w:hAnsi="Arial" w:cs="Arial"/>
          <w:sz w:val="24"/>
          <w:vertAlign w:val="superscript"/>
        </w:rPr>
        <w:t>θ</w:t>
      </w:r>
      <w:r>
        <w:rPr>
          <w:sz w:val="24"/>
        </w:rPr>
        <w:t>、Kb</w:t>
      </w:r>
      <w:r>
        <w:rPr>
          <w:rFonts w:ascii="Arial" w:hAnsi="Arial" w:cs="Arial"/>
          <w:sz w:val="24"/>
          <w:vertAlign w:val="superscript"/>
        </w:rPr>
        <w:t>θ</w:t>
      </w:r>
      <w:r>
        <w:rPr>
          <w:sz w:val="24"/>
        </w:rPr>
        <w:t>之间的关系。</w:t>
      </w:r>
    </w:p>
    <w:p w14:paraId="1A92F23A">
      <w:pPr>
        <w:snapToGrid w:val="0"/>
        <w:spacing w:line="360" w:lineRule="auto"/>
        <w:ind w:firstLine="480" w:firstLineChars="200"/>
        <w:rPr>
          <w:sz w:val="24"/>
        </w:rPr>
      </w:pPr>
      <w:r>
        <w:rPr>
          <w:sz w:val="24"/>
        </w:rPr>
        <w:t>2.掌握一元弱酸（碱）的解离平衡的有关计算及稀释定律</w:t>
      </w:r>
      <w:r>
        <w:rPr>
          <w:rFonts w:hint="eastAsia"/>
          <w:sz w:val="24"/>
        </w:rPr>
        <w:t>；</w:t>
      </w:r>
      <w:r>
        <w:rPr>
          <w:sz w:val="24"/>
        </w:rPr>
        <w:t>掌握多元弱酸（碱）、两性、共轭体系酸度计算的最简式</w:t>
      </w:r>
      <w:r>
        <w:rPr>
          <w:rFonts w:hint="eastAsia"/>
          <w:sz w:val="24"/>
        </w:rPr>
        <w:t>；</w:t>
      </w:r>
      <w:r>
        <w:rPr>
          <w:sz w:val="24"/>
        </w:rPr>
        <w:t>掌握弱电解质的同离子效应与盐效应。会写弱电解质的质子条件式。</w:t>
      </w:r>
    </w:p>
    <w:p w14:paraId="4DD54AF4">
      <w:pPr>
        <w:snapToGrid w:val="0"/>
        <w:spacing w:line="360" w:lineRule="auto"/>
        <w:ind w:firstLine="480" w:firstLineChars="200"/>
        <w:rPr>
          <w:sz w:val="24"/>
        </w:rPr>
      </w:pPr>
      <w:r>
        <w:rPr>
          <w:sz w:val="24"/>
        </w:rPr>
        <w:t>3.计算有关组分的平衡浓度。</w:t>
      </w:r>
    </w:p>
    <w:p w14:paraId="2EB8E984">
      <w:pPr>
        <w:snapToGrid w:val="0"/>
        <w:spacing w:line="360" w:lineRule="auto"/>
        <w:ind w:firstLine="480" w:firstLineChars="200"/>
        <w:rPr>
          <w:sz w:val="24"/>
        </w:rPr>
      </w:pPr>
      <w:r>
        <w:rPr>
          <w:sz w:val="24"/>
        </w:rPr>
        <w:t>4.掌握缓冲溶液的缓冲原理及相关计算，学会缓冲溶液的选择与配制</w:t>
      </w:r>
      <w:r>
        <w:rPr>
          <w:rFonts w:hint="eastAsia"/>
          <w:sz w:val="24"/>
        </w:rPr>
        <w:t>；</w:t>
      </w:r>
      <w:r>
        <w:rPr>
          <w:sz w:val="24"/>
        </w:rPr>
        <w:t>掌握酸碱指示剂的作用原理及常用指示剂的变色范围，会选择酸碱指示剂。</w:t>
      </w:r>
    </w:p>
    <w:p w14:paraId="04B32FC2">
      <w:pPr>
        <w:snapToGrid w:val="0"/>
        <w:spacing w:line="360" w:lineRule="auto"/>
        <w:ind w:firstLine="480" w:firstLineChars="200"/>
        <w:rPr>
          <w:sz w:val="24"/>
        </w:rPr>
      </w:pPr>
      <w:r>
        <w:rPr>
          <w:sz w:val="24"/>
        </w:rPr>
        <w:t>5.掌握酸碱滴定法的基本原理</w:t>
      </w:r>
      <w:r>
        <w:rPr>
          <w:rFonts w:hint="eastAsia"/>
          <w:sz w:val="24"/>
        </w:rPr>
        <w:t>、</w:t>
      </w:r>
      <w:r>
        <w:rPr>
          <w:sz w:val="24"/>
        </w:rPr>
        <w:t>酸碱滴定类型</w:t>
      </w:r>
      <w:r>
        <w:rPr>
          <w:rFonts w:hint="eastAsia"/>
          <w:sz w:val="24"/>
        </w:rPr>
        <w:t>及</w:t>
      </w:r>
      <w:r>
        <w:rPr>
          <w:sz w:val="24"/>
        </w:rPr>
        <w:t>各种类型滴定曲线的特点</w:t>
      </w:r>
      <w:r>
        <w:rPr>
          <w:rFonts w:hint="eastAsia"/>
          <w:sz w:val="24"/>
        </w:rPr>
        <w:t>；</w:t>
      </w:r>
      <w:r>
        <w:rPr>
          <w:sz w:val="24"/>
        </w:rPr>
        <w:t>掌握一元酸（碱）被准确滴定的判据和多元酸（碱）分步滴定的条件。掌握酸碱滴定法应用中的有关计算。</w:t>
      </w:r>
    </w:p>
    <w:p w14:paraId="5924AD0D">
      <w:pPr>
        <w:snapToGrid w:val="0"/>
        <w:spacing w:line="360" w:lineRule="auto"/>
        <w:rPr>
          <w:b/>
          <w:bCs/>
          <w:sz w:val="24"/>
        </w:rPr>
      </w:pPr>
      <w:r>
        <w:rPr>
          <w:sz w:val="24"/>
        </w:rPr>
        <w:t>考核要点：</w:t>
      </w:r>
    </w:p>
    <w:p w14:paraId="5FB9FB20">
      <w:pPr>
        <w:snapToGrid w:val="0"/>
        <w:spacing w:line="360" w:lineRule="auto"/>
        <w:ind w:firstLine="480" w:firstLineChars="200"/>
        <w:rPr>
          <w:sz w:val="24"/>
        </w:rPr>
      </w:pPr>
      <w:r>
        <w:rPr>
          <w:sz w:val="24"/>
        </w:rPr>
        <w:t>酸、碱质子理论的基本要点和酸碱电子理论的基本概念。水的解离平衡、水的标准离子积常数和强酸、强碱溶液的pH值的计算。不同体系下的质子条件式。通过质子条件计算各种溶液的pH值以及各种形态的分布。同离子效应和缓冲溶液的概念，缓冲溶液的pH值的计算，酸碱滴定基本原理和酸碱指示剂的作用原理</w:t>
      </w:r>
      <w:r>
        <w:rPr>
          <w:rFonts w:hint="eastAsia"/>
          <w:sz w:val="24"/>
        </w:rPr>
        <w:t>；</w:t>
      </w:r>
      <w:r>
        <w:rPr>
          <w:sz w:val="24"/>
        </w:rPr>
        <w:t>酸碱滴定方式及其应用</w:t>
      </w:r>
      <w:r>
        <w:rPr>
          <w:rFonts w:hint="eastAsia"/>
          <w:sz w:val="24"/>
        </w:rPr>
        <w:t>；</w:t>
      </w:r>
      <w:r>
        <w:rPr>
          <w:sz w:val="24"/>
        </w:rPr>
        <w:t>滴定结果的计算和终点误差的计算，尤其是直接滴定条件以及利用滴定体积判断混合酸碱组成及其含量。</w:t>
      </w:r>
    </w:p>
    <w:p w14:paraId="6BB220E0">
      <w:pPr>
        <w:snapToGrid w:val="0"/>
        <w:spacing w:before="156" w:beforeLines="50" w:after="156" w:afterLines="50" w:line="360" w:lineRule="auto"/>
        <w:jc w:val="center"/>
        <w:rPr>
          <w:bCs/>
          <w:sz w:val="24"/>
        </w:rPr>
      </w:pPr>
      <w:r>
        <w:rPr>
          <w:bCs/>
          <w:sz w:val="24"/>
        </w:rPr>
        <w:t>第</w:t>
      </w:r>
      <w:r>
        <w:rPr>
          <w:rFonts w:hint="eastAsia"/>
          <w:bCs/>
          <w:sz w:val="24"/>
        </w:rPr>
        <w:t>四</w:t>
      </w:r>
      <w:r>
        <w:rPr>
          <w:bCs/>
          <w:sz w:val="24"/>
        </w:rPr>
        <w:t>章  沉淀--溶解平衡</w:t>
      </w:r>
    </w:p>
    <w:p w14:paraId="351815B8">
      <w:pPr>
        <w:snapToGrid w:val="0"/>
        <w:spacing w:line="360" w:lineRule="auto"/>
        <w:rPr>
          <w:sz w:val="24"/>
        </w:rPr>
      </w:pPr>
      <w:r>
        <w:rPr>
          <w:sz w:val="24"/>
        </w:rPr>
        <w:t>考核知识点：</w:t>
      </w:r>
    </w:p>
    <w:p w14:paraId="4D76B0D9">
      <w:pPr>
        <w:snapToGrid w:val="0"/>
        <w:spacing w:line="360" w:lineRule="auto"/>
        <w:ind w:firstLine="480" w:firstLineChars="200"/>
        <w:rPr>
          <w:sz w:val="24"/>
        </w:rPr>
      </w:pPr>
      <w:r>
        <w:rPr>
          <w:sz w:val="24"/>
        </w:rPr>
        <w:t>1.掌握溶度积定义、溶度积规则、同离子效应与盐效应、分步沉淀等基本概念。</w:t>
      </w:r>
    </w:p>
    <w:p w14:paraId="394A93FA">
      <w:pPr>
        <w:snapToGrid w:val="0"/>
        <w:spacing w:line="360" w:lineRule="auto"/>
        <w:ind w:firstLine="480" w:firstLineChars="200"/>
        <w:rPr>
          <w:sz w:val="24"/>
        </w:rPr>
      </w:pPr>
      <w:r>
        <w:rPr>
          <w:sz w:val="24"/>
        </w:rPr>
        <w:t>2.掌握溶度积和溶解度的相互换算及其条件，掌握沉淀溶解平衡的有关计算、分步沉淀和沉淀转化的有关计算，以及用生成氢氧化物或生成硫化物分步沉淀的方法分离金属离子的有关计算。</w:t>
      </w:r>
    </w:p>
    <w:p w14:paraId="4ECF3DB6">
      <w:pPr>
        <w:snapToGrid w:val="0"/>
        <w:spacing w:line="360" w:lineRule="auto"/>
        <w:rPr>
          <w:b/>
          <w:bCs/>
          <w:sz w:val="24"/>
        </w:rPr>
      </w:pPr>
      <w:r>
        <w:rPr>
          <w:sz w:val="24"/>
        </w:rPr>
        <w:t>考核要点：</w:t>
      </w:r>
    </w:p>
    <w:p w14:paraId="1A220662">
      <w:pPr>
        <w:snapToGrid w:val="0"/>
        <w:spacing w:line="360" w:lineRule="auto"/>
        <w:ind w:firstLine="480" w:firstLineChars="200"/>
        <w:rPr>
          <w:sz w:val="24"/>
        </w:rPr>
      </w:pPr>
      <w:r>
        <w:rPr>
          <w:sz w:val="24"/>
        </w:rPr>
        <w:t>溶解度和溶度积。沉淀的生成和溶解。两种沉淀相互转化之间的平衡。难溶电解质的沉淀溶解平衡，标准溶度积常数及其与溶解度的关系和有关计算。溶度积规则，用溶度积规则判断沉淀的生成和溶解。pH值对难溶金属氢氧化物沉淀溶解平衡的影响及有关计算，金属硫化物沉淀溶解平衡的影响因素及有关计算。沉淀的配位溶解平衡的简单计算。分步沉淀和两种沉淀间的转化及有关计算。沉淀滴定法的基本理论。</w:t>
      </w:r>
    </w:p>
    <w:p w14:paraId="0E2F06AE">
      <w:pPr>
        <w:snapToGrid w:val="0"/>
        <w:spacing w:before="156" w:beforeLines="50" w:after="156" w:afterLines="50" w:line="360" w:lineRule="auto"/>
        <w:jc w:val="center"/>
        <w:rPr>
          <w:bCs/>
          <w:sz w:val="24"/>
        </w:rPr>
      </w:pPr>
      <w:r>
        <w:rPr>
          <w:bCs/>
          <w:sz w:val="24"/>
        </w:rPr>
        <w:t>第</w:t>
      </w:r>
      <w:r>
        <w:rPr>
          <w:rFonts w:hint="eastAsia"/>
          <w:bCs/>
          <w:sz w:val="24"/>
        </w:rPr>
        <w:t>五</w:t>
      </w:r>
      <w:r>
        <w:rPr>
          <w:bCs/>
          <w:sz w:val="24"/>
        </w:rPr>
        <w:t>章  电极电势与氧化还原平衡</w:t>
      </w:r>
    </w:p>
    <w:p w14:paraId="1169DC87">
      <w:pPr>
        <w:snapToGrid w:val="0"/>
        <w:spacing w:line="360" w:lineRule="auto"/>
        <w:rPr>
          <w:b/>
          <w:bCs/>
          <w:sz w:val="24"/>
        </w:rPr>
      </w:pPr>
      <w:r>
        <w:rPr>
          <w:sz w:val="24"/>
        </w:rPr>
        <w:t>考核知识点：</w:t>
      </w:r>
    </w:p>
    <w:p w14:paraId="057989CE">
      <w:pPr>
        <w:snapToGrid w:val="0"/>
        <w:spacing w:line="360" w:lineRule="auto"/>
        <w:ind w:firstLine="480" w:firstLineChars="200"/>
        <w:rPr>
          <w:sz w:val="24"/>
        </w:rPr>
      </w:pPr>
      <w:r>
        <w:rPr>
          <w:sz w:val="24"/>
        </w:rPr>
        <w:t>1.掌握原电池、电极电势、标准电极电势、条件电极电势的概念</w:t>
      </w:r>
      <w:r>
        <w:rPr>
          <w:rFonts w:hint="eastAsia"/>
          <w:sz w:val="24"/>
        </w:rPr>
        <w:t>；</w:t>
      </w:r>
      <w:r>
        <w:rPr>
          <w:sz w:val="24"/>
        </w:rPr>
        <w:t>掌握氧化值法和离子-电子法配平氧化还原反应方程式的基本原则和一般步骤</w:t>
      </w:r>
      <w:r>
        <w:rPr>
          <w:rFonts w:hint="eastAsia"/>
          <w:sz w:val="24"/>
        </w:rPr>
        <w:t>；</w:t>
      </w:r>
      <w:r>
        <w:rPr>
          <w:sz w:val="24"/>
        </w:rPr>
        <w:t>了解影响电极电势的因素，掌握能斯特方程式的有关计算。</w:t>
      </w:r>
    </w:p>
    <w:p w14:paraId="4EC74DFF">
      <w:pPr>
        <w:snapToGrid w:val="0"/>
        <w:spacing w:line="360" w:lineRule="auto"/>
        <w:ind w:firstLine="480" w:firstLineChars="200"/>
        <w:rPr>
          <w:sz w:val="24"/>
        </w:rPr>
      </w:pPr>
      <w:r>
        <w:rPr>
          <w:sz w:val="24"/>
        </w:rPr>
        <w:t>2.掌握氧化还原反应的方向和次序的判断，计算氧化还原反应平衡常数，设计电池计算沉淀的溶度积常数及弱酸解离常数等</w:t>
      </w:r>
      <w:r>
        <w:rPr>
          <w:rFonts w:hint="eastAsia"/>
          <w:sz w:val="24"/>
        </w:rPr>
        <w:t>；</w:t>
      </w:r>
      <w:r>
        <w:rPr>
          <w:sz w:val="24"/>
        </w:rPr>
        <w:t>掌握元素电势图的意义及其应用。</w:t>
      </w:r>
    </w:p>
    <w:p w14:paraId="4D6D4328">
      <w:pPr>
        <w:snapToGrid w:val="0"/>
        <w:spacing w:line="360" w:lineRule="auto"/>
        <w:ind w:firstLine="480" w:firstLineChars="200"/>
        <w:rPr>
          <w:sz w:val="24"/>
        </w:rPr>
      </w:pPr>
      <w:r>
        <w:rPr>
          <w:sz w:val="24"/>
        </w:rPr>
        <w:t>3.掌握氧化还原滴定的基本原理，滴定曲线的绘制方法</w:t>
      </w:r>
      <w:r>
        <w:rPr>
          <w:rFonts w:hint="eastAsia"/>
          <w:sz w:val="24"/>
        </w:rPr>
        <w:t>；</w:t>
      </w:r>
      <w:r>
        <w:rPr>
          <w:sz w:val="24"/>
        </w:rPr>
        <w:t>掌握化学计量点溶液电极电势的计算</w:t>
      </w:r>
      <w:r>
        <w:rPr>
          <w:rFonts w:hint="eastAsia"/>
          <w:sz w:val="24"/>
        </w:rPr>
        <w:t>；</w:t>
      </w:r>
      <w:r>
        <w:rPr>
          <w:sz w:val="24"/>
        </w:rPr>
        <w:t>掌握影响电势突跃的因素。</w:t>
      </w:r>
    </w:p>
    <w:p w14:paraId="33D76B0C">
      <w:pPr>
        <w:snapToGrid w:val="0"/>
        <w:spacing w:line="360" w:lineRule="auto"/>
        <w:ind w:firstLine="480" w:firstLineChars="200"/>
        <w:rPr>
          <w:sz w:val="24"/>
        </w:rPr>
      </w:pPr>
      <w:r>
        <w:rPr>
          <w:sz w:val="24"/>
        </w:rPr>
        <w:t>4.掌握确定氧化还原滴定终点的一般方法、选择指示剂的原则</w:t>
      </w:r>
      <w:r>
        <w:rPr>
          <w:rFonts w:hint="eastAsia"/>
          <w:sz w:val="24"/>
        </w:rPr>
        <w:t>；</w:t>
      </w:r>
      <w:r>
        <w:rPr>
          <w:sz w:val="24"/>
        </w:rPr>
        <w:t>掌握高锰酸钾法、重铬酸钾法、碘量法的方法原理、特点及其应用</w:t>
      </w:r>
      <w:r>
        <w:rPr>
          <w:rFonts w:hint="eastAsia"/>
          <w:sz w:val="24"/>
        </w:rPr>
        <w:t>及</w:t>
      </w:r>
      <w:r>
        <w:rPr>
          <w:sz w:val="24"/>
        </w:rPr>
        <w:t>相应结果的计算。</w:t>
      </w:r>
    </w:p>
    <w:p w14:paraId="6D2D99EC">
      <w:pPr>
        <w:snapToGrid w:val="0"/>
        <w:spacing w:line="360" w:lineRule="auto"/>
        <w:rPr>
          <w:b/>
          <w:bCs/>
          <w:sz w:val="24"/>
        </w:rPr>
      </w:pPr>
      <w:r>
        <w:rPr>
          <w:sz w:val="24"/>
        </w:rPr>
        <w:t>考核要点：</w:t>
      </w:r>
    </w:p>
    <w:p w14:paraId="0422C9BE">
      <w:pPr>
        <w:snapToGrid w:val="0"/>
        <w:spacing w:line="360" w:lineRule="auto"/>
        <w:ind w:firstLine="480" w:firstLineChars="200"/>
        <w:rPr>
          <w:sz w:val="24"/>
        </w:rPr>
      </w:pPr>
      <w:r>
        <w:rPr>
          <w:sz w:val="24"/>
        </w:rPr>
        <w:t>电极电势的应用，氧化还原反应的基本概念，氧化还原反应方程式的配平。原电池及其电动势的概念。电极电势的概念及其影响因素，Nernst方程式及其有关的简单计算。判断氧化还原反应方向和程度的因素。氧化还原滴定的计算，常用的氧化还原滴定法原理及其应用。元素电势图及其应用。</w:t>
      </w:r>
    </w:p>
    <w:p w14:paraId="6F628AE1">
      <w:pPr>
        <w:snapToGrid w:val="0"/>
        <w:spacing w:before="156" w:beforeLines="50" w:after="156" w:afterLines="50" w:line="360" w:lineRule="auto"/>
        <w:jc w:val="center"/>
        <w:rPr>
          <w:bCs/>
          <w:sz w:val="24"/>
        </w:rPr>
      </w:pPr>
      <w:r>
        <w:rPr>
          <w:bCs/>
          <w:sz w:val="24"/>
        </w:rPr>
        <w:t>第</w:t>
      </w:r>
      <w:r>
        <w:rPr>
          <w:rFonts w:hint="eastAsia"/>
          <w:bCs/>
          <w:sz w:val="24"/>
        </w:rPr>
        <w:t>六</w:t>
      </w:r>
      <w:r>
        <w:rPr>
          <w:bCs/>
          <w:sz w:val="24"/>
        </w:rPr>
        <w:t>章  配位化合物与配位平衡</w:t>
      </w:r>
    </w:p>
    <w:p w14:paraId="1A8B90C8">
      <w:pPr>
        <w:snapToGrid w:val="0"/>
        <w:spacing w:line="360" w:lineRule="auto"/>
        <w:rPr>
          <w:b/>
          <w:bCs/>
          <w:sz w:val="24"/>
        </w:rPr>
      </w:pPr>
      <w:r>
        <w:rPr>
          <w:sz w:val="24"/>
        </w:rPr>
        <w:t>考核知识点：</w:t>
      </w:r>
    </w:p>
    <w:p w14:paraId="2BC24A17">
      <w:pPr>
        <w:snapToGrid w:val="0"/>
        <w:spacing w:line="360" w:lineRule="auto"/>
        <w:ind w:firstLine="480" w:firstLineChars="200"/>
        <w:rPr>
          <w:sz w:val="24"/>
        </w:rPr>
      </w:pPr>
      <w:r>
        <w:rPr>
          <w:sz w:val="24"/>
        </w:rPr>
        <w:t>1.掌握配合物的概念、组成、特点和命名。</w:t>
      </w:r>
    </w:p>
    <w:p w14:paraId="59D1ACB3">
      <w:pPr>
        <w:snapToGrid w:val="0"/>
        <w:spacing w:line="360" w:lineRule="auto"/>
        <w:ind w:firstLine="480" w:firstLineChars="200"/>
        <w:rPr>
          <w:sz w:val="24"/>
        </w:rPr>
      </w:pPr>
      <w:r>
        <w:rPr>
          <w:sz w:val="24"/>
        </w:rPr>
        <w:t>2.掌握配位平衡的基本理论及平衡体系中离子浓度的计算。</w:t>
      </w:r>
    </w:p>
    <w:p w14:paraId="236D94FB">
      <w:pPr>
        <w:snapToGrid w:val="0"/>
        <w:spacing w:line="360" w:lineRule="auto"/>
        <w:ind w:firstLine="480" w:firstLineChars="200"/>
        <w:rPr>
          <w:sz w:val="24"/>
        </w:rPr>
      </w:pPr>
      <w:r>
        <w:rPr>
          <w:sz w:val="24"/>
        </w:rPr>
        <w:t>3.掌握EDTA与金属离子的配合物的特点</w:t>
      </w:r>
      <w:r>
        <w:rPr>
          <w:rFonts w:hint="eastAsia"/>
          <w:sz w:val="24"/>
        </w:rPr>
        <w:t>、</w:t>
      </w:r>
      <w:r>
        <w:rPr>
          <w:sz w:val="24"/>
        </w:rPr>
        <w:t>绝对稳定常数和条件稳定常数的意义</w:t>
      </w:r>
      <w:r>
        <w:rPr>
          <w:rFonts w:hint="eastAsia"/>
          <w:sz w:val="24"/>
        </w:rPr>
        <w:t>；</w:t>
      </w:r>
      <w:r>
        <w:rPr>
          <w:sz w:val="24"/>
        </w:rPr>
        <w:t>掌握EDTA的酸效应、金属离子的配位效应的计算及其对条件稳定常数的影响，会求滴定单一离子所允许的最高酸度（最小pH值）。</w:t>
      </w:r>
    </w:p>
    <w:p w14:paraId="12B2981F">
      <w:pPr>
        <w:snapToGrid w:val="0"/>
        <w:spacing w:line="360" w:lineRule="auto"/>
        <w:ind w:firstLine="480" w:firstLineChars="200"/>
        <w:rPr>
          <w:sz w:val="24"/>
        </w:rPr>
      </w:pPr>
      <w:r>
        <w:rPr>
          <w:sz w:val="24"/>
        </w:rPr>
        <w:t>4.掌握金属离子配位滴定适宜酸度的选择、最佳酸度选择的依据</w:t>
      </w:r>
      <w:r>
        <w:rPr>
          <w:rFonts w:hint="eastAsia"/>
          <w:sz w:val="24"/>
        </w:rPr>
        <w:t>。</w:t>
      </w:r>
      <w:r>
        <w:rPr>
          <w:sz w:val="24"/>
        </w:rPr>
        <w:t xml:space="preserve"> </w:t>
      </w:r>
    </w:p>
    <w:p w14:paraId="6853733F">
      <w:pPr>
        <w:snapToGrid w:val="0"/>
        <w:spacing w:line="360" w:lineRule="auto"/>
        <w:rPr>
          <w:b/>
          <w:bCs/>
          <w:sz w:val="24"/>
        </w:rPr>
      </w:pPr>
      <w:r>
        <w:rPr>
          <w:sz w:val="24"/>
        </w:rPr>
        <w:t>考核要点：</w:t>
      </w:r>
    </w:p>
    <w:p w14:paraId="7B22C038">
      <w:pPr>
        <w:snapToGrid w:val="0"/>
        <w:spacing w:line="360" w:lineRule="auto"/>
        <w:ind w:firstLine="480" w:firstLineChars="200"/>
        <w:rPr>
          <w:sz w:val="24"/>
        </w:rPr>
      </w:pPr>
      <w:r>
        <w:rPr>
          <w:sz w:val="24"/>
        </w:rPr>
        <w:t>配合物的基本概念，配合物的命名。配合物价键理论的基本要点、配合物的几何构型与中心离子杂化轨道的关系。内轨型、外轨型配合物的概念、中心离子价电子排布与配离子稳定性、磁性的关系。配合物的生成反应和配位平衡及配位平衡的组成。</w:t>
      </w:r>
    </w:p>
    <w:p w14:paraId="5F8AAD07">
      <w:pPr>
        <w:snapToGrid w:val="0"/>
        <w:spacing w:before="156" w:beforeLines="50" w:after="156" w:afterLines="50" w:line="360" w:lineRule="auto"/>
        <w:jc w:val="center"/>
        <w:rPr>
          <w:bCs/>
          <w:sz w:val="24"/>
        </w:rPr>
      </w:pPr>
      <w:r>
        <w:rPr>
          <w:bCs/>
          <w:sz w:val="24"/>
        </w:rPr>
        <w:t>第</w:t>
      </w:r>
      <w:r>
        <w:rPr>
          <w:rFonts w:hint="eastAsia"/>
          <w:bCs/>
          <w:sz w:val="24"/>
        </w:rPr>
        <w:t>七</w:t>
      </w:r>
      <w:r>
        <w:rPr>
          <w:bCs/>
          <w:sz w:val="24"/>
        </w:rPr>
        <w:t xml:space="preserve">章 </w:t>
      </w:r>
      <w:r>
        <w:rPr>
          <w:rFonts w:hint="eastAsia"/>
          <w:bCs/>
          <w:sz w:val="24"/>
        </w:rPr>
        <w:t xml:space="preserve"> </w:t>
      </w:r>
      <w:r>
        <w:rPr>
          <w:bCs/>
          <w:sz w:val="24"/>
        </w:rPr>
        <w:t>副族元素</w:t>
      </w:r>
    </w:p>
    <w:p w14:paraId="739E1D62">
      <w:pPr>
        <w:snapToGrid w:val="0"/>
        <w:spacing w:line="360" w:lineRule="auto"/>
        <w:rPr>
          <w:sz w:val="24"/>
        </w:rPr>
      </w:pPr>
      <w:r>
        <w:rPr>
          <w:sz w:val="24"/>
        </w:rPr>
        <w:t>考核知识点：</w:t>
      </w:r>
    </w:p>
    <w:p w14:paraId="284698FD">
      <w:pPr>
        <w:snapToGrid w:val="0"/>
        <w:spacing w:line="360" w:lineRule="auto"/>
        <w:ind w:firstLine="480" w:firstLineChars="200"/>
        <w:rPr>
          <w:b/>
          <w:bCs/>
          <w:sz w:val="24"/>
        </w:rPr>
      </w:pPr>
      <w:r>
        <w:rPr>
          <w:sz w:val="24"/>
        </w:rPr>
        <w:t>掌握d区元素的基本化学性质</w:t>
      </w:r>
      <w:r>
        <w:rPr>
          <w:rFonts w:hint="eastAsia"/>
          <w:sz w:val="24"/>
        </w:rPr>
        <w:t>及</w:t>
      </w:r>
      <w:r>
        <w:rPr>
          <w:sz w:val="24"/>
        </w:rPr>
        <w:t>重要化合物的性质和反应</w:t>
      </w:r>
    </w:p>
    <w:p w14:paraId="302D1444">
      <w:pPr>
        <w:snapToGrid w:val="0"/>
        <w:spacing w:line="360" w:lineRule="auto"/>
        <w:rPr>
          <w:sz w:val="24"/>
        </w:rPr>
      </w:pPr>
      <w:r>
        <w:rPr>
          <w:sz w:val="24"/>
        </w:rPr>
        <w:t>考核要点：</w:t>
      </w:r>
    </w:p>
    <w:p w14:paraId="5A707ECB">
      <w:pPr>
        <w:snapToGrid w:val="0"/>
        <w:spacing w:line="360" w:lineRule="auto"/>
        <w:ind w:firstLine="480" w:firstLineChars="200"/>
        <w:rPr>
          <w:rFonts w:ascii="黑体" w:hAnsi="黑体" w:eastAsia="黑体"/>
          <w:sz w:val="24"/>
        </w:rPr>
      </w:pPr>
      <w:r>
        <w:rPr>
          <w:sz w:val="24"/>
        </w:rPr>
        <w:t>过渡元素的通性。铬的电势图，Cr(III)</w:t>
      </w:r>
      <w:r>
        <w:rPr>
          <w:rFonts w:hint="eastAsia"/>
          <w:sz w:val="24"/>
        </w:rPr>
        <w:t>和</w:t>
      </w:r>
      <w:r>
        <w:rPr>
          <w:sz w:val="24"/>
        </w:rPr>
        <w:t>Cr(VI)化合物的酸碱性、氧化还原性及其相互转化。锰的电势图，Mn(II)</w:t>
      </w:r>
      <w:r>
        <w:rPr>
          <w:rFonts w:hint="eastAsia"/>
          <w:sz w:val="24"/>
        </w:rPr>
        <w:t>、</w:t>
      </w:r>
      <w:r>
        <w:rPr>
          <w:sz w:val="24"/>
        </w:rPr>
        <w:t>Mn(IV)</w:t>
      </w:r>
      <w:r>
        <w:rPr>
          <w:rFonts w:hint="eastAsia"/>
          <w:sz w:val="24"/>
        </w:rPr>
        <w:t>、</w:t>
      </w:r>
      <w:r>
        <w:rPr>
          <w:sz w:val="24"/>
        </w:rPr>
        <w:t>Mn(VI)</w:t>
      </w:r>
      <w:r>
        <w:rPr>
          <w:rFonts w:hint="eastAsia"/>
          <w:sz w:val="24"/>
        </w:rPr>
        <w:t>和</w:t>
      </w:r>
      <w:r>
        <w:rPr>
          <w:sz w:val="24"/>
        </w:rPr>
        <w:t>Mn(VII)的重要化合物的性质和反应。Fe(II)</w:t>
      </w:r>
      <w:r>
        <w:rPr>
          <w:rFonts w:hint="eastAsia"/>
          <w:sz w:val="24"/>
        </w:rPr>
        <w:t>、</w:t>
      </w:r>
      <w:r>
        <w:rPr>
          <w:sz w:val="24"/>
        </w:rPr>
        <w:t>Co(II)</w:t>
      </w:r>
      <w:r>
        <w:rPr>
          <w:rFonts w:hint="eastAsia"/>
          <w:sz w:val="24"/>
        </w:rPr>
        <w:t>和</w:t>
      </w:r>
      <w:r>
        <w:rPr>
          <w:sz w:val="24"/>
        </w:rPr>
        <w:t>Ni(II)的重要化合物的性质及其变化规律</w:t>
      </w:r>
      <w:r>
        <w:rPr>
          <w:rFonts w:hint="eastAsia"/>
          <w:sz w:val="24"/>
        </w:rPr>
        <w:t>；</w:t>
      </w:r>
      <w:r>
        <w:rPr>
          <w:sz w:val="24"/>
        </w:rPr>
        <w:t>Fe(III)</w:t>
      </w:r>
      <w:r>
        <w:rPr>
          <w:rFonts w:hint="eastAsia"/>
          <w:sz w:val="24"/>
        </w:rPr>
        <w:t>、</w:t>
      </w:r>
      <w:r>
        <w:rPr>
          <w:sz w:val="24"/>
        </w:rPr>
        <w:t>Co(III)</w:t>
      </w:r>
      <w:r>
        <w:rPr>
          <w:rFonts w:hint="eastAsia"/>
          <w:sz w:val="24"/>
        </w:rPr>
        <w:t>和</w:t>
      </w:r>
      <w:r>
        <w:rPr>
          <w:sz w:val="24"/>
        </w:rPr>
        <w:t>Ni(III)的重要化合物的性质及其变化规律；铁、钴</w:t>
      </w:r>
      <w:r>
        <w:rPr>
          <w:rFonts w:hint="eastAsia"/>
          <w:sz w:val="24"/>
        </w:rPr>
        <w:t>和</w:t>
      </w:r>
      <w:r>
        <w:rPr>
          <w:sz w:val="24"/>
        </w:rPr>
        <w:t>镍的重要配合物。铜族元素的通性。铜的氧化物、氢氧化物、重要铜盐的性质，Cu(I)和Cu(II)的相互转化，铜的配合物。银的氧化物、氢氧化物的性质，银的重要配合物。锌族元素的通性。锌、镉、汞的氧化物，镉、汞的氢氧化物的性质，Hg(I)和Hg(II)间的相互转化，镉、汞的配合物。</w:t>
      </w:r>
    </w:p>
    <w:p w14:paraId="759B4F8E">
      <w:pPr>
        <w:spacing w:line="360" w:lineRule="auto"/>
        <w:rPr>
          <w:rFonts w:ascii="黑体" w:hAnsi="黑体" w:eastAsia="黑体"/>
          <w:sz w:val="24"/>
        </w:rPr>
      </w:pPr>
      <w:r>
        <w:rPr>
          <w:rFonts w:ascii="黑体" w:hAnsi="黑体" w:eastAsia="黑体"/>
          <w:b/>
          <w:sz w:val="24"/>
        </w:rPr>
        <w:t>三、</w:t>
      </w:r>
      <w:r>
        <w:rPr>
          <w:rFonts w:hint="eastAsia" w:ascii="黑体" w:hAnsi="黑体" w:eastAsia="黑体"/>
          <w:b/>
          <w:sz w:val="24"/>
        </w:rPr>
        <w:t>考试形式及时间</w:t>
      </w:r>
    </w:p>
    <w:p w14:paraId="0431033F">
      <w:pPr>
        <w:snapToGrid w:val="0"/>
        <w:spacing w:line="360" w:lineRule="auto"/>
        <w:ind w:firstLine="480" w:firstLineChars="200"/>
        <w:rPr>
          <w:rFonts w:ascii="仿宋_GB2312" w:hAnsi="黑体" w:eastAsia="仿宋_GB2312"/>
          <w:sz w:val="24"/>
        </w:rPr>
      </w:pPr>
      <w:r>
        <w:rPr>
          <w:rFonts w:hint="eastAsia" w:ascii="宋体" w:hAnsi="宋体"/>
          <w:sz w:val="24"/>
        </w:rPr>
        <w:t>闭卷笔试，考试时间</w:t>
      </w:r>
      <w:r>
        <w:rPr>
          <w:rFonts w:hint="eastAsia" w:ascii="宋体" w:hAnsi="宋体"/>
          <w:sz w:val="24"/>
          <w:lang w:val="en-US" w:eastAsia="zh-CN"/>
        </w:rPr>
        <w:t>3小时</w:t>
      </w:r>
      <w:r>
        <w:rPr>
          <w:rFonts w:hint="eastAsia" w:ascii="宋体" w:hAnsi="宋体"/>
          <w:sz w:val="24"/>
        </w:rPr>
        <w:t>。</w:t>
      </w:r>
    </w:p>
    <w:p w14:paraId="45177A9B">
      <w:pPr>
        <w:snapToGrid w:val="0"/>
        <w:spacing w:line="360" w:lineRule="auto"/>
        <w:rPr>
          <w:rFonts w:ascii="宋体" w:hAnsi="宋体"/>
          <w:sz w:val="24"/>
        </w:rPr>
      </w:pPr>
      <w:r>
        <w:rPr>
          <w:rFonts w:hint="eastAsia" w:ascii="黑体" w:hAnsi="黑体" w:eastAsia="黑体"/>
          <w:b/>
          <w:sz w:val="24"/>
        </w:rPr>
        <w:t>四、参考书目(须与专业目录一致)(包括作者、书目、出版社、出版时间、版次)：</w:t>
      </w:r>
    </w:p>
    <w:p w14:paraId="788F50B2">
      <w:pPr>
        <w:snapToGrid w:val="0"/>
        <w:spacing w:line="240" w:lineRule="exact"/>
        <w:rPr>
          <w:sz w:val="24"/>
        </w:rPr>
      </w:pPr>
      <w:r>
        <w:rPr>
          <w:rFonts w:hint="eastAsia"/>
          <w:sz w:val="24"/>
        </w:rPr>
        <w:t>《无机及分析化学教程》（第2版）商少明 刘瑛 高世萍 高等教育出版社 2020年10月</w:t>
      </w:r>
    </w:p>
    <w:p w14:paraId="6C764967">
      <w:pPr>
        <w:spacing w:line="440" w:lineRule="atLeast"/>
        <w:rPr>
          <w:rFonts w:ascii="黑体" w:hAnsi="黑体" w:eastAsia="黑体"/>
          <w:b/>
          <w:sz w:val="24"/>
        </w:rPr>
      </w:pPr>
      <w:r>
        <w:rPr>
          <w:rFonts w:hint="eastAsia" w:ascii="黑体" w:hAnsi="黑体" w:eastAsia="黑体"/>
          <w:b/>
          <w:sz w:val="24"/>
        </w:rPr>
        <w:t xml:space="preserve"> </w:t>
      </w:r>
    </w:p>
    <w:p w14:paraId="56E2EF83">
      <w:pPr>
        <w:snapToGrid w:val="0"/>
        <w:spacing w:line="240" w:lineRule="exact"/>
        <w:rPr>
          <w:sz w:val="24"/>
        </w:rPr>
      </w:pPr>
      <w:r>
        <w:rPr>
          <w:rFonts w:ascii="黑体" w:hAnsi="黑体" w:eastAsia="黑体"/>
          <w:b/>
          <w:sz w:val="24"/>
        </w:rPr>
        <w:t xml:space="preserve">                                        </w:t>
      </w:r>
    </w:p>
    <w:p w14:paraId="3CD42FBD">
      <w:pPr>
        <w:adjustRightInd w:val="0"/>
        <w:snapToGrid w:val="0"/>
        <w:spacing w:line="360" w:lineRule="auto"/>
        <w:rPr>
          <w:rFonts w:ascii="仿宋_GB2312" w:hAnsi="宋体" w:eastAsia="仿宋_GB2312"/>
          <w:sz w:val="24"/>
        </w:rPr>
      </w:pPr>
    </w:p>
    <w:sectPr>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hjYjJkYmEwYTI1NGNiN2RjNDIxZTU0ZWM2Y2E4OGEifQ=="/>
  </w:docVars>
  <w:rsids>
    <w:rsidRoot w:val="00AE2A5A"/>
    <w:rsid w:val="00071675"/>
    <w:rsid w:val="000754A1"/>
    <w:rsid w:val="00082BA2"/>
    <w:rsid w:val="000B7C58"/>
    <w:rsid w:val="000D2DB1"/>
    <w:rsid w:val="000F618B"/>
    <w:rsid w:val="0012185A"/>
    <w:rsid w:val="00131F22"/>
    <w:rsid w:val="00132200"/>
    <w:rsid w:val="001331BA"/>
    <w:rsid w:val="00140342"/>
    <w:rsid w:val="00140F5D"/>
    <w:rsid w:val="00163DDE"/>
    <w:rsid w:val="001B13CD"/>
    <w:rsid w:val="001B2488"/>
    <w:rsid w:val="00271ABB"/>
    <w:rsid w:val="0028594D"/>
    <w:rsid w:val="002F40D1"/>
    <w:rsid w:val="003A407E"/>
    <w:rsid w:val="00497FC3"/>
    <w:rsid w:val="0051223F"/>
    <w:rsid w:val="005F6880"/>
    <w:rsid w:val="00613339"/>
    <w:rsid w:val="00622564"/>
    <w:rsid w:val="006308B1"/>
    <w:rsid w:val="006852AF"/>
    <w:rsid w:val="0069333B"/>
    <w:rsid w:val="006C6D13"/>
    <w:rsid w:val="006C70D1"/>
    <w:rsid w:val="006D5C74"/>
    <w:rsid w:val="006F5760"/>
    <w:rsid w:val="00706512"/>
    <w:rsid w:val="0074688C"/>
    <w:rsid w:val="0074721A"/>
    <w:rsid w:val="00750DB2"/>
    <w:rsid w:val="00784FE2"/>
    <w:rsid w:val="007C5D51"/>
    <w:rsid w:val="007F7121"/>
    <w:rsid w:val="00914084"/>
    <w:rsid w:val="00917D22"/>
    <w:rsid w:val="009476F9"/>
    <w:rsid w:val="009C70D8"/>
    <w:rsid w:val="009E79AC"/>
    <w:rsid w:val="00A55606"/>
    <w:rsid w:val="00A7609D"/>
    <w:rsid w:val="00AA5B1B"/>
    <w:rsid w:val="00AC74A9"/>
    <w:rsid w:val="00AE2A5A"/>
    <w:rsid w:val="00AF2AFE"/>
    <w:rsid w:val="00AF319D"/>
    <w:rsid w:val="00B1758C"/>
    <w:rsid w:val="00B352A0"/>
    <w:rsid w:val="00BF4E0D"/>
    <w:rsid w:val="00C05E0D"/>
    <w:rsid w:val="00C8734B"/>
    <w:rsid w:val="00CB6198"/>
    <w:rsid w:val="00D20047"/>
    <w:rsid w:val="00D46EB2"/>
    <w:rsid w:val="00D777F9"/>
    <w:rsid w:val="00DC193E"/>
    <w:rsid w:val="00DC2CC8"/>
    <w:rsid w:val="00E57463"/>
    <w:rsid w:val="00EC0151"/>
    <w:rsid w:val="00F01221"/>
    <w:rsid w:val="00F412B9"/>
    <w:rsid w:val="00F65F2B"/>
    <w:rsid w:val="00FC28D0"/>
    <w:rsid w:val="03A1797F"/>
    <w:rsid w:val="069D56BF"/>
    <w:rsid w:val="089A0184"/>
    <w:rsid w:val="10FC35D1"/>
    <w:rsid w:val="128C69FB"/>
    <w:rsid w:val="149072FC"/>
    <w:rsid w:val="1FAB556E"/>
    <w:rsid w:val="20983F91"/>
    <w:rsid w:val="2ECD286B"/>
    <w:rsid w:val="33D34654"/>
    <w:rsid w:val="34B455E6"/>
    <w:rsid w:val="3540009B"/>
    <w:rsid w:val="39532534"/>
    <w:rsid w:val="5B7E44A4"/>
    <w:rsid w:val="60FD6C04"/>
    <w:rsid w:val="62566C94"/>
    <w:rsid w:val="62D20B92"/>
    <w:rsid w:val="645A64A3"/>
    <w:rsid w:val="66415C02"/>
    <w:rsid w:val="7FAE63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uiPriority w:val="0"/>
    <w:rPr>
      <w:sz w:val="18"/>
      <w:szCs w:val="20"/>
    </w:rPr>
  </w:style>
  <w:style w:type="paragraph" w:styleId="3">
    <w:name w:val="List 2"/>
    <w:basedOn w:val="1"/>
    <w:qFormat/>
    <w:uiPriority w:val="0"/>
    <w:pPr>
      <w:adjustRightInd w:val="0"/>
      <w:spacing w:line="312" w:lineRule="atLeast"/>
      <w:ind w:left="840" w:hanging="420"/>
      <w:textAlignment w:val="baseline"/>
    </w:pPr>
    <w:rPr>
      <w:kern w:val="0"/>
      <w:szCs w:val="20"/>
    </w:rPr>
  </w:style>
  <w:style w:type="paragraph" w:styleId="4">
    <w:name w:val="Balloon Text"/>
    <w:basedOn w:val="1"/>
    <w:link w:val="13"/>
    <w:qFormat/>
    <w:uiPriority w:val="0"/>
    <w:rPr>
      <w:sz w:val="18"/>
      <w:szCs w:val="1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kern w:val="0"/>
      <w:sz w:val="20"/>
      <w:szCs w:val="20"/>
    </w:rPr>
  </w:style>
  <w:style w:type="paragraph" w:styleId="8">
    <w:name w:val="Body Text First Indent"/>
    <w:basedOn w:val="2"/>
    <w:uiPriority w:val="0"/>
    <w:pPr>
      <w:adjustRightInd w:val="0"/>
      <w:spacing w:after="120" w:line="312" w:lineRule="atLeast"/>
      <w:ind w:firstLine="420"/>
      <w:textAlignment w:val="baseline"/>
    </w:pPr>
    <w:rPr>
      <w:kern w:val="0"/>
      <w:sz w:val="21"/>
    </w:rPr>
  </w:style>
  <w:style w:type="character" w:customStyle="1" w:styleId="11">
    <w:name w:val="页眉 字符"/>
    <w:link w:val="6"/>
    <w:uiPriority w:val="0"/>
    <w:rPr>
      <w:kern w:val="2"/>
      <w:sz w:val="18"/>
      <w:szCs w:val="18"/>
    </w:rPr>
  </w:style>
  <w:style w:type="character" w:customStyle="1" w:styleId="12">
    <w:name w:val="页脚 字符"/>
    <w:link w:val="5"/>
    <w:qFormat/>
    <w:uiPriority w:val="0"/>
    <w:rPr>
      <w:kern w:val="2"/>
      <w:sz w:val="18"/>
      <w:szCs w:val="18"/>
    </w:rPr>
  </w:style>
  <w:style w:type="character" w:customStyle="1" w:styleId="13">
    <w:name w:val="批注框文本 字符"/>
    <w:link w:val="4"/>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fd</Company>
  <Pages>4</Pages>
  <Words>2731</Words>
  <Characters>2892</Characters>
  <Lines>22</Lines>
  <Paragraphs>6</Paragraphs>
  <TotalTime>4</TotalTime>
  <ScaleCrop>false</ScaleCrop>
  <LinksUpToDate>false</LinksUpToDate>
  <CharactersWithSpaces>2957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2024-08-27T13:31:00Z</dcterms:created>
  <dc:creator>woc</dc:creator>
  <cp:lastModifiedBy>王鹏</cp:lastModifiedBy>
  <cp:lastPrinted>2019-07-09T02:45:00Z</cp:lastPrinted>
  <dcterms:modified xsi:type="dcterms:W3CDTF">2024-09-30T05:31:27Z</dcterms:modified>
  <dc:title>广东工业大学</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15C48DFCDF4C498381F355E9B235E800_12</vt:lpwstr>
  </property>
</Properties>
</file>